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99.png" ContentType="image/png"/>
  <Override PartName="/word/media/rId92.png" ContentType="image/png"/>
  <Override PartName="/word/media/rId34.svg" ContentType="image/svg+xml"/>
  <Override PartName="/word/media/rId39.svg" ContentType="image/svg+xml"/>
  <Override PartName="/word/media/rId29.svg" ContentType="image/svg+xml"/>
  <Override PartName="/word/media/rId32.png" ContentType="image/png"/>
  <Override PartName="/word/media/rId37.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archived here</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A revised version</w:t>
      </w:r>
      <w:r>
        <w:rPr>
          <w:iCs/>
          <w:i/>
        </w:rPr>
        <w:t xml:space="preserve"> </w:t>
      </w:r>
      <w:hyperlink r:id="rId24">
        <w:r>
          <w:rPr>
            <w:rStyle w:val="VerbatimChar"/>
            <w:iCs/>
            <w:i/>
          </w:rPr>
          <w:t xml:space="preserve">v1.1</w:t>
        </w:r>
      </w:hyperlink>
      <w:r>
        <w:rPr>
          <w:iCs/>
          <w:i/>
        </w:rPr>
        <w:t xml:space="preserve"> </w:t>
      </w:r>
      <w:r>
        <w:rPr>
          <w:iCs/>
          <w:i/>
        </w:rPr>
        <w:t xml:space="preserve">(</w:t>
      </w:r>
      <w:hyperlink r:id="rId25">
        <w:r>
          <w:rPr>
            <w:rStyle w:val="Hyperlink"/>
            <w:iCs/>
            <w:i/>
          </w:rPr>
          <w:t xml:space="preserve">archived here</w:t>
        </w:r>
      </w:hyperlink>
      <w:r>
        <w:rPr>
          <w:iCs/>
          <w:i/>
        </w:rPr>
        <w:t xml:space="preserve">) has been submitted.</w:t>
      </w:r>
      <w:r>
        <w:t xml:space="preserve"> </w:t>
      </w:r>
      <w:r>
        <w:rPr>
          <w:iCs/>
          <w:i/>
        </w:rPr>
        <w:t xml:space="preserve">The version you see here</w:t>
      </w:r>
      <w:r>
        <w:rPr>
          <w:iCs/>
          <w:i/>
        </w:rPr>
        <w:t xml:space="preserve"> </w:t>
      </w:r>
      <w:hyperlink r:id="rId26">
        <w:r>
          <w:rPr>
            <w:rStyle w:val="Hyperlink"/>
            <w:iCs/>
            <w:i/>
          </w:rPr>
          <w:t xml:space="preserve">is further updated</w:t>
        </w:r>
      </w:hyperlink>
      <w:r>
        <w:rPr>
          <w:iCs/>
          <w:i/>
        </w:rPr>
        <w:t xml:space="preserve"> </w:t>
      </w:r>
      <w:r>
        <w:rPr>
          <w:iCs/>
          <w:i/>
        </w:rPr>
        <w:t xml:space="preserve">since re-submission.</w:t>
      </w:r>
    </w:p>
    <w:p>
      <w:pPr>
        <w:pStyle w:val="BodyText"/>
      </w:pPr>
      <w:r>
        <w:t xml:space="preserve"> </w:t>
      </w:r>
      <w:r>
        <w:t xml:space="preserve">This manuscript</w:t>
      </w:r>
      <w:r>
        <w:t xml:space="preserve"> </w:t>
      </w:r>
      <w:r>
        <w:t xml:space="preserve">(</w:t>
      </w:r>
      <w:hyperlink r:id="rId27">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8">
        <w:r>
          <w:rPr>
            <w:rStyle w:val="Hyperlink"/>
          </w:rPr>
          <w:t xml:space="preserve">habi/EAWAG-manuscript@3abb043</w:t>
        </w:r>
      </w:hyperlink>
      <w:r>
        <w:t xml:space="preserve"> </w:t>
      </w:r>
      <w:r>
        <w:t xml:space="preserve">on July 21, 2023.</w:t>
      </w:r>
      <w:r>
        <w:t xml:space="preserve"> </w:t>
      </w:r>
    </w:p>
    <w:bookmarkStart w:id="77" w:name="authors"/>
    <w:p>
      <w:pPr>
        <w:pStyle w:val="Heading2"/>
      </w:pPr>
      <w:r>
        <w:t xml:space="preserve">Authors</w:t>
      </w:r>
    </w:p>
    <w:p>
      <w:pPr>
        <w:numPr>
          <w:ilvl w:val="0"/>
          <w:numId w:val="1001"/>
        </w:numPr>
      </w:pPr>
      <w:r>
        <w:rPr>
          <w:bCs/>
          <w:b/>
        </w:rPr>
        <w:t xml:space="preserve">David Haberthür</w:t>
      </w:r>
      <w:r>
        <w:t xml:space="preserve"> </w:t>
      </w:r>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0000-0003-3388-9187</w:t>
        </w:r>
      </w:hyperlink>
      <w:r>
        <w:t xml:space="preserve"> </w:t>
      </w:r>
      <w:r>
        <w:t xml:space="preserve">·</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w:t>
      </w:r>
      <w:r>
        <w:t xml:space="preserve"> </w:t>
      </w:r>
      <w:r>
        <w:drawing>
          <wp:inline>
            <wp:extent cx="152400" cy="152400"/>
            <wp:effectExtent b="0" l="0" r="0" t="0"/>
            <wp:docPr descr="Mastodon icon" title="" id="40" name="Picture"/>
            <a:graphic>
              <a:graphicData uri="http://schemas.openxmlformats.org/drawingml/2006/picture">
                <pic:pic>
                  <pic:nvPicPr>
                    <pic:cNvPr descr="images/mastodon.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t xml:space="preserve">·</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0000-0002-4413-2633</w:t>
        </w:r>
      </w:hyperlink>
      <w:r>
        <w:t xml:space="preserve"> </w:t>
      </w:r>
      <w:r>
        <w:t xml:space="preserve">·</w:t>
      </w:r>
      <w:r>
        <w:t xml:space="preserve"> </w:t>
      </w:r>
      <w:r>
        <w:t xml:space="preserve">·</w:t>
      </w:r>
      <w:r>
        <w:t xml:space="preserve"> </w:t>
      </w:r>
      <w:r>
        <w:drawing>
          <wp:inline>
            <wp:extent cx="152400" cy="152400"/>
            <wp:effectExtent b="0" l="0" r="0" t="0"/>
            <wp:docPr descr="GitHub icon" title="" id="51" name="Picture"/>
            <a:graphic>
              <a:graphicData uri="http://schemas.openxmlformats.org/drawingml/2006/picture">
                <pic:pic>
                  <pic:nvPicPr>
                    <pic:cNvPr descr="images/github.svg" id="52" name="Picture"/>
                    <pic:cNvPicPr>
                      <a:picLocks noChangeArrowheads="1"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kassthefish</w:t>
        </w:r>
      </w:hyperlink>
      <w:r>
        <w:t xml:space="preserve"> </w:t>
      </w:r>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8">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59" name="Picture"/>
            <a:graphic>
              <a:graphicData uri="http://schemas.openxmlformats.org/drawingml/2006/picture">
                <pic:pic>
                  <pic:nvPicPr>
                    <pic:cNvPr descr="images/orcid.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0000-0001-6598-1434</w:t>
        </w:r>
      </w:hyperlink>
      <w:r>
        <w:t xml:space="preserve"> </w:t>
      </w:r>
      <w:r>
        <w:t xml:space="preserve">·</w:t>
      </w:r>
      <w:r>
        <w:t xml:space="preserve"> </w:t>
      </w:r>
      <w:r>
        <w:t xml:space="preserve">·</w:t>
      </w:r>
      <w:r>
        <w:t xml:space="preserve"> </w:t>
      </w:r>
      <w:r>
        <w:drawing>
          <wp:inline>
            <wp:extent cx="152400" cy="152400"/>
            <wp:effectExtent b="0" l="0" r="0" t="0"/>
            <wp:docPr descr="GitHub icon" title="" id="63" name="Picture"/>
            <a:graphic>
              <a:graphicData uri="http://schemas.openxmlformats.org/drawingml/2006/picture">
                <pic:pic>
                  <pic:nvPicPr>
                    <pic:cNvPr descr="images/github.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6">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7" name="Picture"/>
            <a:graphic>
              <a:graphicData uri="http://schemas.openxmlformats.org/drawingml/2006/picture">
                <pic:pic>
                  <pic:nvPicPr>
                    <pic:cNvPr descr="images/orcid.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0">
        <w:r>
          <w:rPr>
            <w:rStyle w:val="Hyperlink"/>
          </w:rPr>
          <w:t xml:space="preserve">0000-0002-6722-8996</w:t>
        </w:r>
      </w:hyperlink>
      <w:r>
        <w:t xml:space="preserve"> </w:t>
      </w:r>
      <w:r>
        <w:t xml:space="preserve">·</w:t>
      </w:r>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6" w:name="correspondence"/>
    <w:p>
      <w:pPr>
        <w:pStyle w:val="FirstParagraph"/>
      </w:pPr>
      <w:r>
        <w:t xml:space="preserve">✉ — Correspondence possible via</w:t>
      </w:r>
      <w:r>
        <w:t xml:space="preserve"> </w:t>
      </w:r>
      <w:hyperlink r:id="rId75">
        <w:r>
          <w:rPr>
            <w:rStyle w:val="Hyperlink"/>
          </w:rPr>
          <w:t xml:space="preserve">GitHub Issues</w:t>
        </w:r>
      </w:hyperlink>
    </w:p>
    <w:bookmarkEnd w:id="76"/>
    <w:bookmarkEnd w:id="77"/>
    <w:bookmarkStart w:id="78" w:name="abstract"/>
    <w:p>
      <w:pPr>
        <w:pStyle w:val="Heading2"/>
      </w:pPr>
      <w:r>
        <w:t xml:space="preserve">Abstract</w:t>
      </w:r>
    </w:p>
    <w:p>
      <w:pPr>
        <w:pStyle w:val="FirstParagraph"/>
      </w:pPr>
      <w:r>
        <w:t xml:space="preserve">A large collection of cichlids (N=133)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8"/>
    <w:bookmarkStart w:id="81" w:name="introduction"/>
    <w:p>
      <w:pPr>
        <w:pStyle w:val="Heading2"/>
      </w:pPr>
      <w:r>
        <w:t xml:space="preserve">Introduction</w:t>
      </w:r>
    </w:p>
    <w:bookmarkStart w:id="79" w:name="history-and-rationale"/>
    <w:p>
      <w:pPr>
        <w:pStyle w:val="Heading3"/>
      </w:pPr>
      <w:r>
        <w:t xml:space="preserve">History and rationale</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79"/>
    <w:bookmarkStart w:id="80"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employing contrast agents containing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native samples.</w:t>
      </w:r>
      <w:r>
        <w:t xml:space="preserve"> </w:t>
      </w:r>
      <w:r>
        <w:t xml:space="preserve">Enhancing contrast differences by staining prior to tomographic imaging was thus not necessary to for the samples presented herein.</w:t>
      </w:r>
    </w:p>
    <w:bookmarkEnd w:id="80"/>
    <w:bookmarkEnd w:id="81"/>
    <w:bookmarkStart w:id="112" w:name="materials-methods-and-results"/>
    <w:p>
      <w:pPr>
        <w:pStyle w:val="Heading2"/>
      </w:pPr>
      <w:r>
        <w:t xml:space="preserve">Materials, Methods and Results</w:t>
      </w:r>
    </w:p>
    <w:bookmarkStart w:id="82"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82"/>
    <w:bookmarkStart w:id="83"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83"/>
    <w:bookmarkStart w:id="8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depending on the position of the specimen in the machine.</w:t>
      </w:r>
      <w:r>
        <w:t xml:space="preserve"> </w:t>
      </w:r>
      <w:r>
        <w:t xml:space="preserve">Naturally, the field of view of the resulting dataset also depends on the chosen voxel size.</w:t>
      </w:r>
      <w:r>
        <w:t xml:space="preserve"> </w:t>
      </w:r>
      <w:r>
        <w:t xml:space="preserve">The chosen voxel size is thus scan-specific.</w:t>
      </w:r>
      <w:r>
        <w:t xml:space="preserve"> </w:t>
      </w:r>
      <w:r>
        <w:t xml:space="preserve">It was always chosen in a way that the region of interest to be images fit into the available lateral field of view of the microCT machine at the smallest necessary voxel size to resolve the structures of interest.</w:t>
      </w:r>
      <w:r>
        <w:t xml:space="preserve"> </w:t>
      </w:r>
      <w:r>
        <w:t xml:space="preserve">Since the region of interest (either oral or pharyngeal jaws or the complete skulls of the fish)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subsequently automatically merged to one stack of reconstructions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84"/>
    <w:bookmarkStart w:id="8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They notebooks are split into different task performed for this study and are specifically mentioned in the respective sections below.</w:t>
      </w:r>
    </w:p>
    <w:bookmarkStart w:id="86" w:name="preparation-for-analysis"/>
    <w:p>
      <w:pPr>
        <w:pStyle w:val="Heading4"/>
      </w:pPr>
      <w:r>
        <w:t xml:space="preserve">Preparation for analysis</w:t>
      </w:r>
    </w:p>
    <w:p>
      <w:pPr>
        <w:pStyle w:val="FirstParagraph"/>
      </w:pPr>
      <w:r>
        <w:t xml:space="preserve">The</w:t>
      </w:r>
      <w:r>
        <w:t xml:space="preserve"> </w:t>
      </w:r>
      <w:hyperlink r:id="rId8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for double-checking them and excluding (or necessarily correcting) any operator-error.</w:t>
      </w:r>
      <w:r>
        <w:t xml:space="preserve"> </w:t>
      </w:r>
      <w:r>
        <w:t xml:space="preserve">All relevant values for each scan were also saved into the aforementioned 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for each scan.</w:t>
      </w:r>
    </w:p>
    <w:bookmarkEnd w:id="86"/>
    <w:bookmarkEnd w:id="87"/>
    <w:bookmarkStart w:id="111" w:name="image-processing"/>
    <w:p>
      <w:pPr>
        <w:pStyle w:val="Heading3"/>
      </w:pPr>
      <w:r>
        <w:t xml:space="preserve">Image processing</w:t>
      </w:r>
    </w:p>
    <w:bookmarkStart w:id="9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8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9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9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5"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93" name="Picture"/>
            <a:graphic>
              <a:graphicData uri="http://schemas.openxmlformats.org/drawingml/2006/picture">
                <pic:pic>
                  <pic:nvPicPr>
                    <pic:cNvPr descr="images/104016.png" id="94" name="Picture"/>
                    <pic:cNvPicPr>
                      <a:picLocks noChangeArrowheads="1" noChangeAspect="1"/>
                    </pic:cNvPicPr>
                  </pic:nvPicPr>
                  <pic:blipFill>
                    <a:blip r:embed="rId92"/>
                    <a:stretch>
                      <a:fillRect/>
                    </a:stretch>
                  </pic:blipFill>
                  <pic:spPr bwMode="auto">
                    <a:xfrm>
                      <a:off x="0" y="0"/>
                      <a:ext cx="5943600" cy="4314505"/>
                    </a:xfrm>
                    <a:prstGeom prst="rect">
                      <a:avLst/>
                    </a:prstGeom>
                    <a:noFill/>
                    <a:ln w="9525">
                      <a:noFill/>
                      <a:headEnd/>
                      <a:tailEnd/>
                    </a:ln>
                  </pic:spPr>
                </pic:pic>
              </a:graphicData>
            </a:graphic>
          </wp:inline>
        </w:drawing>
      </w:r>
      <w:bookmarkEnd w:id="95"/>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6"/>
    <w:bookmarkStart w:id="9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7"/>
    <w:bookmarkStart w:id="11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9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10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100" name="Picture"/>
            <a:graphic>
              <a:graphicData uri="http://schemas.openxmlformats.org/drawingml/2006/picture">
                <pic:pic>
                  <pic:nvPicPr>
                    <pic:cNvPr descr="images/104016.head.rec.otolither.position.png" id="101" name="Picture"/>
                    <pic:cNvPicPr>
                      <a:picLocks noChangeArrowheads="1" noChangeAspect="1"/>
                    </pic:cNvPicPr>
                  </pic:nvPicPr>
                  <pic:blipFill>
                    <a:blip r:embed="rId99"/>
                    <a:stretch>
                      <a:fillRect/>
                    </a:stretch>
                  </pic:blipFill>
                  <pic:spPr bwMode="auto">
                    <a:xfrm>
                      <a:off x="0" y="0"/>
                      <a:ext cx="5943600" cy="3552518"/>
                    </a:xfrm>
                    <a:prstGeom prst="rect">
                      <a:avLst/>
                    </a:prstGeom>
                    <a:noFill/>
                    <a:ln w="9525">
                      <a:noFill/>
                      <a:headEnd/>
                      <a:tailEnd/>
                    </a:ln>
                  </pic:spPr>
                </pic:pic>
              </a:graphicData>
            </a:graphic>
          </wp:inline>
        </w:drawing>
      </w:r>
      <w:bookmarkEnd w:id="102"/>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6"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4" name="Picture"/>
            <a:graphic>
              <a:graphicData uri="http://schemas.openxmlformats.org/drawingml/2006/picture">
                <pic:pic>
                  <pic:nvPicPr>
                    <pic:cNvPr descr="images/104016.head.rec.otolith.region.3D.png" id="105" name="Picture"/>
                    <pic:cNvPicPr>
                      <a:picLocks noChangeArrowheads="1" noChangeAspect="1"/>
                    </pic:cNvPicPr>
                  </pic:nvPicPr>
                  <pic:blipFill>
                    <a:blip r:embed="rId103"/>
                    <a:stretch>
                      <a:fillRect/>
                    </a:stretch>
                  </pic:blipFill>
                  <pic:spPr bwMode="auto">
                    <a:xfrm>
                      <a:off x="0" y="0"/>
                      <a:ext cx="5943600" cy="4982082"/>
                    </a:xfrm>
                    <a:prstGeom prst="rect">
                      <a:avLst/>
                    </a:prstGeom>
                    <a:noFill/>
                    <a:ln w="9525">
                      <a:noFill/>
                      <a:headEnd/>
                      <a:tailEnd/>
                    </a:ln>
                  </pic:spPr>
                </pic:pic>
              </a:graphicData>
            </a:graphic>
          </wp:inline>
        </w:drawing>
      </w:r>
      <w:bookmarkEnd w:id="106"/>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7">
        <w:r>
          <w:rPr>
            <w:rStyle w:val="Hyperlink"/>
          </w:rPr>
          <w:t xml:space="preserve">clicking a single button</w:t>
        </w:r>
      </w:hyperlink>
      <w:r>
        <w:t xml:space="preserve"> </w:t>
      </w:r>
      <w:r>
        <w:t xml:space="preserve">in the</w:t>
      </w:r>
      <w:r>
        <w:t xml:space="preserve"> </w:t>
      </w:r>
      <w:hyperlink r:id="rId108">
        <w:r>
          <w:rPr>
            <w:rStyle w:val="Hyperlink"/>
          </w:rPr>
          <w:t xml:space="preserve">README file</w:t>
        </w:r>
      </w:hyperlink>
      <w:r>
        <w:t xml:space="preserve"> </w:t>
      </w:r>
      <w:r>
        <w:t xml:space="preserve">of the</w:t>
      </w:r>
      <w:r>
        <w:t xml:space="preserve"> </w:t>
      </w:r>
      <w:hyperlink r:id="rId109">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10"/>
    <w:bookmarkEnd w:id="111"/>
    <w:bookmarkEnd w:id="112"/>
    <w:bookmarkStart w:id="116"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 (3.5–50 μm) permitting both the analysis of finest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or scan-specific and was always selected such that the desired region of interest fits into the available lateral field of view of the microCT machine at the minimally necessary voxel size to resolve the structures of interest.</w:t>
      </w:r>
    </w:p>
    <w:bookmarkStart w:id="11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13"/>
    <w:bookmarkStart w:id="11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p>
      <w:pPr>
        <w:pStyle w:val="BodyText"/>
      </w:pPr>
      <w:r>
        <w:t xml:space="preserve">To our best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36</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37</w:t>
        </w:r>
      </w:hyperlink>
      <w:r>
        <w:t xml:space="preserve">]</w:t>
      </w:r>
      <w:r>
        <w:t xml:space="preserve"> </w:t>
      </w:r>
      <w:r>
        <w:t xml:space="preserve">also provide detailed insight into otolith and combine microtomographic imaging (with unknown voxel size) with scanning electron microscopy, but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4"/>
    <w:bookmarkStart w:id="11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15"/>
    <w:bookmarkEnd w:id="116"/>
    <w:bookmarkStart w:id="119" w:name="author-contributions"/>
    <w:p>
      <w:pPr>
        <w:pStyle w:val="Heading2"/>
      </w:pPr>
      <w:r>
        <w:t xml:space="preserve">Author Contributions</w:t>
      </w:r>
    </w:p>
    <w:p>
      <w:pPr>
        <w:pStyle w:val="FirstParagraph"/>
      </w:pPr>
      <w:hyperlink r:id="rId117">
        <w:r>
          <w:rPr>
            <w:rStyle w:val="Hyperlink"/>
          </w:rPr>
          <w:t xml:space="preserve">Contributor Roles Taxonomy</w:t>
        </w:r>
      </w:hyperlink>
      <w:r>
        <w:t xml:space="preserve">, as defined by the</w:t>
      </w:r>
      <w:r>
        <w:t xml:space="preserve"> </w:t>
      </w:r>
      <w:hyperlink r:id="rId11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19"/>
    <w:bookmarkStart w:id="12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38</w:t>
        </w:r>
      </w:hyperlink>
      <w:r>
        <w:t xml:space="preserve">]</w:t>
      </w:r>
      <w:r>
        <w:t xml:space="preserve"> </w:t>
      </w:r>
      <w:r>
        <w:t xml:space="preserve">for helping us write this manuscript collaboratively.</w:t>
      </w:r>
    </w:p>
    <w:bookmarkEnd w:id="121"/>
    <w:bookmarkStart w:id="130" w:name="supplementary-materials"/>
    <w:p>
      <w:pPr>
        <w:pStyle w:val="Heading2"/>
      </w:pPr>
      <w:r>
        <w:t xml:space="preserve">Supplementary Materials</w:t>
      </w:r>
    </w:p>
    <w:bookmarkStart w:id="12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4">
        <w:r>
          <w:rPr>
            <w:rStyle w:val="Hyperlink"/>
          </w:rPr>
          <w:t xml:space="preserve">folder in the data processing repository</w:t>
        </w:r>
      </w:hyperlink>
      <w:r>
        <w:t xml:space="preserve">.</w:t>
      </w:r>
    </w:p>
    <w:bookmarkEnd w:id="125"/>
    <w:bookmarkStart w:id="12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8">
        <w:r>
          <w:rPr>
            <w:rStyle w:val="Hyperlink"/>
          </w:rPr>
          <w:t xml:space="preserve">the otolith extraction notebook</w:t>
        </w:r>
      </w:hyperlink>
      <w:r>
        <w:t xml:space="preserve"> </w:t>
      </w:r>
      <w:r>
        <w:t xml:space="preserve">and saved as a</w:t>
      </w:r>
      <w:r>
        <w:t xml:space="preserve"> </w:t>
      </w:r>
      <w:hyperlink r:id="rId12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28">
        <w:r>
          <w:rPr>
            <w:rStyle w:val="Hyperlink"/>
          </w:rPr>
          <w:t xml:space="preserve">GitHub HTML preview</w:t>
        </w:r>
      </w:hyperlink>
      <w:r>
        <w:t xml:space="preserve">.</w:t>
      </w:r>
    </w:p>
    <w:bookmarkEnd w:id="129"/>
    <w:bookmarkEnd w:id="130"/>
    <w:bookmarkStart w:id="207" w:name="references"/>
    <w:p>
      <w:pPr>
        <w:pStyle w:val="Heading2"/>
      </w:pPr>
      <w:r>
        <w:t xml:space="preserve">References</w:t>
      </w:r>
    </w:p>
    <w:bookmarkStart w:id="206" w:name="refs"/>
    <w:bookmarkStart w:id="132"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31">
        <w:r>
          <w:rPr>
            <w:rStyle w:val="Hyperlink"/>
          </w:rPr>
          <w:t xml:space="preserve">10.1038/nrg1316</w:t>
        </w:r>
      </w:hyperlink>
    </w:p>
    <w:bookmarkEnd w:id="132"/>
    <w:bookmarkStart w:id="134"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33">
        <w:r>
          <w:rPr>
            <w:rStyle w:val="Hyperlink"/>
          </w:rPr>
          <w:t xml:space="preserve">10.1098/rspb.2006.3539</w:t>
        </w:r>
      </w:hyperlink>
    </w:p>
    <w:bookmarkEnd w:id="134"/>
    <w:bookmarkStart w:id="136"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35">
        <w:r>
          <w:rPr>
            <w:rStyle w:val="Hyperlink"/>
          </w:rPr>
          <w:t xml:space="preserve">10.1002/ece3.7359</w:t>
        </w:r>
      </w:hyperlink>
    </w:p>
    <w:bookmarkEnd w:id="136"/>
    <w:bookmarkStart w:id="138"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7">
        <w:r>
          <w:rPr>
            <w:rStyle w:val="Hyperlink"/>
          </w:rPr>
          <w:t xml:space="preserve">10.2307/2412950</w:t>
        </w:r>
      </w:hyperlink>
    </w:p>
    <w:bookmarkEnd w:id="138"/>
    <w:bookmarkStart w:id="140"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39">
        <w:r>
          <w:rPr>
            <w:rStyle w:val="Hyperlink"/>
          </w:rPr>
          <w:t xml:space="preserve">10.1111/nph.13450</w:t>
        </w:r>
      </w:hyperlink>
    </w:p>
    <w:bookmarkEnd w:id="140"/>
    <w:bookmarkStart w:id="142"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41">
        <w:r>
          <w:rPr>
            <w:rStyle w:val="Hyperlink"/>
          </w:rPr>
          <w:t xml:space="preserve">10.1093/iob/obad008</w:t>
        </w:r>
      </w:hyperlink>
    </w:p>
    <w:bookmarkEnd w:id="142"/>
    <w:bookmarkStart w:id="144"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43">
        <w:r>
          <w:rPr>
            <w:rStyle w:val="Hyperlink"/>
          </w:rPr>
          <w:t xml:space="preserve">10.1186/s12915-020-0753-2</w:t>
        </w:r>
      </w:hyperlink>
    </w:p>
    <w:bookmarkEnd w:id="144"/>
    <w:bookmarkStart w:id="146"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5">
        <w:r>
          <w:rPr>
            <w:rStyle w:val="Hyperlink"/>
          </w:rPr>
          <w:t xml:space="preserve">10.1371/journal.pone.0228333</w:t>
        </w:r>
      </w:hyperlink>
    </w:p>
    <w:bookmarkEnd w:id="146"/>
    <w:bookmarkStart w:id="148"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7">
        <w:r>
          <w:rPr>
            <w:rStyle w:val="Hyperlink"/>
          </w:rPr>
          <w:t xml:space="preserve">10.1093/iob/obac022</w:t>
        </w:r>
      </w:hyperlink>
    </w:p>
    <w:bookmarkEnd w:id="148"/>
    <w:bookmarkStart w:id="150" w:name="ref-3rxGCEvJ"/>
    <w:p>
      <w:pPr>
        <w:pStyle w:val="Bibliography"/>
      </w:pPr>
      <w:r>
        <w:t xml:space="preserve">10.</w:t>
      </w:r>
      <w:r>
        <w:t xml:space="preserve"> </w:t>
      </w:r>
      <w:r>
        <w:t xml:space="preserve">	</w:t>
      </w:r>
      <w:r>
        <w:t xml:space="preserve">Available:</w:t>
      </w:r>
      <w:r>
        <w:t xml:space="preserve"> </w:t>
      </w:r>
      <w:hyperlink r:id="rId149">
        <w:r>
          <w:rPr>
            <w:rStyle w:val="Hyperlink"/>
          </w:rPr>
          <w:t xml:space="preserve">https://osf.io/ecmz4</w:t>
        </w:r>
      </w:hyperlink>
    </w:p>
    <w:bookmarkEnd w:id="150"/>
    <w:bookmarkStart w:id="152"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51">
        <w:r>
          <w:rPr>
            <w:rStyle w:val="Hyperlink"/>
          </w:rPr>
          <w:t xml:space="preserve">10.26496/bjz.2014.63</w:t>
        </w:r>
      </w:hyperlink>
    </w:p>
    <w:bookmarkEnd w:id="152"/>
    <w:bookmarkStart w:id="154"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53">
        <w:r>
          <w:rPr>
            <w:rStyle w:val="Hyperlink"/>
          </w:rPr>
          <w:t xml:space="preserve">10.1089/zeb.2016.1245</w:t>
        </w:r>
      </w:hyperlink>
    </w:p>
    <w:bookmarkEnd w:id="154"/>
    <w:bookmarkStart w:id="156" w:name="ref-VCZPOv2f"/>
    <w:p>
      <w:pPr>
        <w:pStyle w:val="Bibliography"/>
      </w:pPr>
      <w:r>
        <w:t xml:space="preserve">13.</w:t>
      </w:r>
      <w:r>
        <w:t xml:space="preserve"> </w:t>
      </w:r>
      <w:r>
        <w:t xml:space="preserve">	</w:t>
      </w:r>
      <w:r>
        <w:t xml:space="preserve">Available:</w:t>
      </w:r>
      <w:r>
        <w:t xml:space="preserve"> </w:t>
      </w:r>
      <w:hyperlink r:id="rId155">
        <w:r>
          <w:rPr>
            <w:rStyle w:val="Hyperlink"/>
          </w:rPr>
          <w:t xml:space="preserve">https://github.com/TomoGraphics/Hol3Drs/blob/master/STL/EAWAG.Fish.stl</w:t>
        </w:r>
      </w:hyperlink>
    </w:p>
    <w:bookmarkEnd w:id="156"/>
    <w:bookmarkStart w:id="158" w:name="ref-115PPSuQp"/>
    <w:p>
      <w:pPr>
        <w:pStyle w:val="Bibliography"/>
      </w:pPr>
      <w:r>
        <w:t xml:space="preserve">14.</w:t>
      </w:r>
      <w:r>
        <w:t xml:space="preserve"> </w:t>
      </w:r>
      <w:r>
        <w:t xml:space="preserve">	</w:t>
      </w:r>
      <w:r>
        <w:t xml:space="preserve">Haberthür D. TomoGraphics/Hol3Drs: A release. Zenodo; 2019. doi:</w:t>
      </w:r>
      <w:hyperlink r:id="rId157">
        <w:r>
          <w:rPr>
            <w:rStyle w:val="Hyperlink"/>
          </w:rPr>
          <w:t xml:space="preserve">10.5281/zenodo.2587555</w:t>
        </w:r>
      </w:hyperlink>
    </w:p>
    <w:bookmarkEnd w:id="158"/>
    <w:bookmarkStart w:id="160" w:name="ref-wsjdcTeC"/>
    <w:p>
      <w:pPr>
        <w:pStyle w:val="Bibliography"/>
      </w:pPr>
      <w:r>
        <w:t xml:space="preserve">15.</w:t>
      </w:r>
      <w:r>
        <w:t xml:space="preserve"> </w:t>
      </w:r>
      <w:r>
        <w:t xml:space="preserve">	</w:t>
      </w:r>
      <w:r>
        <w:t xml:space="preserve">OpenSCAD. [cited 21 Jul 2023]. Available:</w:t>
      </w:r>
      <w:r>
        <w:t xml:space="preserve"> </w:t>
      </w:r>
      <w:hyperlink r:id="rId159">
        <w:r>
          <w:rPr>
            <w:rStyle w:val="Hyperlink"/>
          </w:rPr>
          <w:t xml:space="preserve">https://openscad.org</w:t>
        </w:r>
      </w:hyperlink>
    </w:p>
    <w:bookmarkEnd w:id="160"/>
    <w:bookmarkStart w:id="162" w:name="ref-f7OzrzUv"/>
    <w:p>
      <w:pPr>
        <w:pStyle w:val="Bibliography"/>
      </w:pPr>
      <w:r>
        <w:t xml:space="preserve">16.</w:t>
      </w:r>
      <w:r>
        <w:t xml:space="preserve"> </w:t>
      </w:r>
      <w:r>
        <w:t xml:space="preserve">	</w:t>
      </w:r>
      <w:r>
        <w:t xml:space="preserve">Available:</w:t>
      </w:r>
      <w:r>
        <w:t xml:space="preserve"> </w:t>
      </w:r>
      <w:hyperlink r:id="rId161">
        <w:r>
          <w:rPr>
            <w:rStyle w:val="Hyperlink"/>
          </w:rPr>
          <w:t xml:space="preserve">https://github.com/TomoGraphics/Hol3Drs/blob/master/EAWAG.Fish.scad</w:t>
        </w:r>
      </w:hyperlink>
    </w:p>
    <w:bookmarkEnd w:id="162"/>
    <w:bookmarkStart w:id="164" w:name="ref-ZjgrPHTa"/>
    <w:p>
      <w:pPr>
        <w:pStyle w:val="Bibliography"/>
      </w:pPr>
      <w:r>
        <w:t xml:space="preserve">17.</w:t>
      </w:r>
      <w:r>
        <w:t xml:space="preserve"> </w:t>
      </w:r>
      <w:r>
        <w:t xml:space="preserve">	</w:t>
      </w:r>
      <w:r>
        <w:t xml:space="preserve">Available:</w:t>
      </w:r>
      <w:r>
        <w:t xml:space="preserve"> </w:t>
      </w:r>
      <w:hyperlink r:id="rId163">
        <w:r>
          <w:rPr>
            <w:rStyle w:val="Hyperlink"/>
          </w:rPr>
          <w:t xml:space="preserve">https://github.com/habi/EAWAG/blob/master/rsync-fishes.sh</w:t>
        </w:r>
      </w:hyperlink>
    </w:p>
    <w:bookmarkEnd w:id="164"/>
    <w:bookmarkStart w:id="166"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5">
        <w:r>
          <w:rPr>
            <w:rStyle w:val="Hyperlink"/>
          </w:rPr>
          <w:t xml:space="preserve">10.3233/978-1-61499-649-1-87</w:t>
        </w:r>
      </w:hyperlink>
    </w:p>
    <w:bookmarkEnd w:id="166"/>
    <w:bookmarkStart w:id="168"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7">
        <w:r>
          <w:rPr>
            <w:rStyle w:val="Hyperlink"/>
          </w:rPr>
          <w:t xml:space="preserve">10.5281/zenodo.6798632</w:t>
        </w:r>
      </w:hyperlink>
    </w:p>
    <w:bookmarkEnd w:id="168"/>
    <w:bookmarkStart w:id="170" w:name="ref-19qQOHlFN"/>
    <w:p>
      <w:pPr>
        <w:pStyle w:val="Bibliography"/>
      </w:pPr>
      <w:r>
        <w:t xml:space="preserve">20.</w:t>
      </w:r>
      <w:r>
        <w:t xml:space="preserve"> </w:t>
      </w:r>
      <w:r>
        <w:t xml:space="preserve">	</w:t>
      </w:r>
      <w:r>
        <w:t xml:space="preserve">Team TPD. pandas-dev/pandas: Pandas. Zenodo; 2022. doi:</w:t>
      </w:r>
      <w:hyperlink r:id="rId169">
        <w:r>
          <w:rPr>
            <w:rStyle w:val="Hyperlink"/>
          </w:rPr>
          <w:t xml:space="preserve">10.5281/zenodo.7093122</w:t>
        </w:r>
      </w:hyperlink>
    </w:p>
    <w:bookmarkEnd w:id="170"/>
    <w:bookmarkStart w:id="172"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71">
        <w:r>
          <w:rPr>
            <w:rStyle w:val="Hyperlink"/>
          </w:rPr>
          <w:t xml:space="preserve">10.25080/majora-92bf1922-00a</w:t>
        </w:r>
      </w:hyperlink>
    </w:p>
    <w:bookmarkEnd w:id="172"/>
    <w:bookmarkStart w:id="174"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73">
        <w:r>
          <w:rPr>
            <w:rStyle w:val="Hyperlink"/>
          </w:rPr>
          <w:t xml:space="preserve">https://dask.org</w:t>
        </w:r>
      </w:hyperlink>
    </w:p>
    <w:bookmarkEnd w:id="174"/>
    <w:bookmarkStart w:id="176" w:name="ref-wIfTDBqd"/>
    <w:p>
      <w:pPr>
        <w:pStyle w:val="Bibliography"/>
      </w:pPr>
      <w:r>
        <w:t xml:space="preserve">23.</w:t>
      </w:r>
      <w:r>
        <w:t xml:space="preserve"> </w:t>
      </w:r>
      <w:r>
        <w:t xml:space="preserve">	</w:t>
      </w:r>
      <w:r>
        <w:t xml:space="preserve">Image processing with Dask Arrays — dask-image 2023.03.0+8.g88d81c6.dirty documentation. [cited 21 Jul 2023]. Available:</w:t>
      </w:r>
      <w:r>
        <w:t xml:space="preserve"> </w:t>
      </w:r>
      <w:hyperlink r:id="rId175">
        <w:r>
          <w:rPr>
            <w:rStyle w:val="Hyperlink"/>
          </w:rPr>
          <w:t xml:space="preserve">https://image.dask.org/en/latest/</w:t>
        </w:r>
      </w:hyperlink>
    </w:p>
    <w:bookmarkEnd w:id="176"/>
    <w:bookmarkStart w:id="178"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7">
        <w:r>
          <w:rPr>
            <w:rStyle w:val="Hyperlink"/>
          </w:rPr>
          <w:t xml:space="preserve">10.1016/j.mri.2012.05.001</w:t>
        </w:r>
      </w:hyperlink>
    </w:p>
    <w:bookmarkEnd w:id="178"/>
    <w:bookmarkStart w:id="180"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79">
        <w:r>
          <w:rPr>
            <w:rStyle w:val="Hyperlink"/>
          </w:rPr>
          <w:t xml:space="preserve">10.1111/2041-210x.13669</w:t>
        </w:r>
      </w:hyperlink>
    </w:p>
    <w:bookmarkEnd w:id="180"/>
    <w:bookmarkStart w:id="182" w:name="ref-rn6XbmFW"/>
    <w:p>
      <w:pPr>
        <w:pStyle w:val="Bibliography"/>
      </w:pPr>
      <w:r>
        <w:t xml:space="preserve">26.</w:t>
      </w:r>
      <w:r>
        <w:t xml:space="preserve"> </w:t>
      </w:r>
      <w:r>
        <w:t xml:space="preserve">	</w:t>
      </w:r>
      <w:r>
        <w:t xml:space="preserve">Teem: nrrd: Definition of NRRD File Format. [cited 21 Jul 2023]. Available:</w:t>
      </w:r>
      <w:r>
        <w:t xml:space="preserve"> </w:t>
      </w:r>
      <w:hyperlink r:id="rId181">
        <w:r>
          <w:rPr>
            <w:rStyle w:val="Hyperlink"/>
          </w:rPr>
          <w:t xml:space="preserve">https://teem.sourceforge.net/nrrd/format.html</w:t>
        </w:r>
      </w:hyperlink>
    </w:p>
    <w:bookmarkEnd w:id="182"/>
    <w:bookmarkStart w:id="184"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83">
        <w:r>
          <w:rPr>
            <w:rStyle w:val="Hyperlink"/>
          </w:rPr>
          <w:t xml:space="preserve">10.1007/s10750-016-2925-1</w:t>
        </w:r>
      </w:hyperlink>
    </w:p>
    <w:bookmarkEnd w:id="184"/>
    <w:bookmarkStart w:id="186"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5">
        <w:r>
          <w:rPr>
            <w:rStyle w:val="Hyperlink"/>
          </w:rPr>
          <w:t xml:space="preserve">10.1643/i2021016</w:t>
        </w:r>
      </w:hyperlink>
    </w:p>
    <w:bookmarkEnd w:id="186"/>
    <w:bookmarkStart w:id="188"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87">
        <w:r>
          <w:rPr>
            <w:rStyle w:val="Hyperlink"/>
          </w:rPr>
          <w:t xml:space="preserve">10.1111/2041-210x.13029</w:t>
        </w:r>
      </w:hyperlink>
    </w:p>
    <w:bookmarkEnd w:id="188"/>
    <w:bookmarkStart w:id="190"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89">
        <w:r>
          <w:rPr>
            <w:rStyle w:val="Hyperlink"/>
          </w:rPr>
          <w:t xml:space="preserve"> </w:t>
        </w:r>
        <w:r>
          <w:rPr>
            <w:rStyle w:val="Hyperlink"/>
          </w:rPr>
          <w:t xml:space="preserve">https://cran.r-project.org/package=geomorph</w:t>
        </w:r>
      </w:hyperlink>
    </w:p>
    <w:bookmarkEnd w:id="190"/>
    <w:bookmarkStart w:id="192"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91">
        <w:r>
          <w:rPr>
            <w:rStyle w:val="Hyperlink"/>
          </w:rPr>
          <w:t xml:space="preserve">https://cran.r-project.org/package=RRPP</w:t>
        </w:r>
      </w:hyperlink>
    </w:p>
    <w:bookmarkEnd w:id="192"/>
    <w:bookmarkStart w:id="194"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93">
        <w:r>
          <w:rPr>
            <w:rStyle w:val="Hyperlink"/>
          </w:rPr>
          <w:t xml:space="preserve">https://www.R-project.org/</w:t>
        </w:r>
      </w:hyperlink>
    </w:p>
    <w:bookmarkEnd w:id="194"/>
    <w:bookmarkStart w:id="196"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5">
        <w:r>
          <w:rPr>
            <w:rStyle w:val="Hyperlink"/>
          </w:rPr>
          <w:t xml:space="preserve">https://www.rstudio.com/</w:t>
        </w:r>
      </w:hyperlink>
    </w:p>
    <w:bookmarkEnd w:id="196"/>
    <w:bookmarkStart w:id="197" w:name="ref-a9ZL41Of"/>
    <w:p>
      <w:pPr>
        <w:pStyle w:val="Bibliography"/>
      </w:pPr>
      <w:r>
        <w:t xml:space="preserve">34.</w:t>
      </w:r>
      <w:r>
        <w:t xml:space="preserve"> </w:t>
      </w:r>
      <w:r>
        <w:t xml:space="preserve">	</w:t>
      </w:r>
      <w:r>
        <w:t xml:space="preserve">K3D Jupyter. K3D-tools; 2023. Available:</w:t>
      </w:r>
      <w:r>
        <w:t xml:space="preserve"> </w:t>
      </w:r>
      <w:hyperlink r:id="rId127">
        <w:r>
          <w:rPr>
            <w:rStyle w:val="Hyperlink"/>
          </w:rPr>
          <w:t xml:space="preserve">https://github.com/K3D-tools/K3D-jupyter</w:t>
        </w:r>
      </w:hyperlink>
    </w:p>
    <w:bookmarkEnd w:id="197"/>
    <w:bookmarkStart w:id="199"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98">
        <w:r>
          <w:rPr>
            <w:rStyle w:val="Hyperlink"/>
          </w:rPr>
          <w:t xml:space="preserve">10.25080/majora-4af1f417-011</w:t>
        </w:r>
      </w:hyperlink>
    </w:p>
    <w:bookmarkEnd w:id="199"/>
    <w:bookmarkStart w:id="201" w:name="ref-PgMc4mCy"/>
    <w:p>
      <w:pPr>
        <w:pStyle w:val="Bibliography"/>
      </w:pPr>
      <w:r>
        <w:t xml:space="preserve">36.</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200">
        <w:r>
          <w:rPr>
            <w:rStyle w:val="Hyperlink"/>
          </w:rPr>
          <w:t xml:space="preserve">10.3389/fmars.2019.00728</w:t>
        </w:r>
      </w:hyperlink>
    </w:p>
    <w:bookmarkEnd w:id="201"/>
    <w:bookmarkStart w:id="203" w:name="ref-HYXdLQTV"/>
    <w:p>
      <w:pPr>
        <w:pStyle w:val="Bibliography"/>
      </w:pPr>
      <w:r>
        <w:t xml:space="preserve">37.</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2">
        <w:r>
          <w:rPr>
            <w:rStyle w:val="Hyperlink"/>
          </w:rPr>
          <w:t xml:space="preserve">10.1016/j.micron.2022.103342</w:t>
        </w:r>
      </w:hyperlink>
    </w:p>
    <w:bookmarkEnd w:id="203"/>
    <w:bookmarkStart w:id="205" w:name="ref-YuJbg3zO"/>
    <w:p>
      <w:pPr>
        <w:pStyle w:val="Bibliography"/>
      </w:pPr>
      <w:r>
        <w:t xml:space="preserve">38.</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4">
        <w:r>
          <w:rPr>
            <w:rStyle w:val="Hyperlink"/>
          </w:rPr>
          <w:t xml:space="preserve">10.1371/journal.pcbi.1007128</w:t>
        </w:r>
      </w:hyperlink>
    </w:p>
    <w:bookmarkEnd w:id="205"/>
    <w:bookmarkEnd w:id="206"/>
    <w:bookmarkEnd w:id="20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99" Target="media/rId99.png" /><Relationship Type="http://schemas.openxmlformats.org/officeDocument/2006/relationships/image" Id="rId92" Target="media/rId92.pn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29" Target="media/rId29.sv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v1.1...3abb043a6e2aed52fd6af13c2ff321e9a640c139#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3abb043a6e2aed52fd6af13c2ff321e9a640c139"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7" Target="https://habi.github.io/EAWAG-manuscript/v/3abb043a6e2aed52fd6af13c2ff321e9a640c139/"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v1.1...3abb043a6e2aed52fd6af13c2ff321e9a640c139#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3abb043a6e2aed52fd6af13c2ff321e9a640c139"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7" Target="https://habi.github.io/EAWAG-manuscript/v/3abb043a6e2aed52fd6af13c2ff321e9a640c139/"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2023-07-21T14:44:58Z</dcterms:created>
  <dcterms:modified xsi:type="dcterms:W3CDTF">2023-07-21T14:44:58Z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